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0C" w:rsidRPr="00CD7F0C" w:rsidRDefault="00CD7F0C" w:rsidP="00CD7F0C">
      <w:pPr>
        <w:suppressAutoHyphens/>
        <w:autoSpaceDN w:val="0"/>
        <w:spacing w:after="0" w:line="360" w:lineRule="auto"/>
        <w:ind w:left="4536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left="4536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left="4536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left="4536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bookmarkStart w:id="0" w:name="_GoBack"/>
      <w:r w:rsidRPr="00CD7F0C">
        <w:rPr>
          <w:rFonts w:ascii="Calibri" w:eastAsia="NSimSun" w:hAnsi="Calibri" w:cs="Calibri"/>
          <w:b/>
          <w:color w:val="000000"/>
          <w:kern w:val="3"/>
          <w:sz w:val="24"/>
          <w:szCs w:val="24"/>
          <w:lang w:eastAsia="zh-CN" w:bidi="hi-IN"/>
        </w:rPr>
        <w:t>PROJETO DE LEI N.° 1487/2019</w:t>
      </w:r>
      <w:bookmarkEnd w:id="0"/>
      <w:r w:rsidRPr="00CD7F0C">
        <w:rPr>
          <w:rFonts w:ascii="Calibri" w:eastAsia="NSimSun" w:hAnsi="Calibri" w:cs="Calibri"/>
          <w:b/>
          <w:color w:val="000000"/>
          <w:kern w:val="3"/>
          <w:sz w:val="24"/>
          <w:szCs w:val="24"/>
          <w:lang w:eastAsia="zh-CN" w:bidi="hi-IN"/>
        </w:rPr>
        <w:t>. ESTABELECE A DISPONIBILIZAÇÃO DE LENTES DE AUMENTO (LUPAS) NOS SUPERMERCADOS E CONGÊNERES, PARA FACILITAR A VISUALIZAÇÃO DA COMPOSIÇÃO, INGREDIENTES E VALIDADE NOS RÓTULOS DOS PRODUTOS COMERCIALIZADOS, E DÁ OUTRAS PROVIDENCIAS. LEGALIDADE. PERTINÊNCIA PÚBLICA.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 xml:space="preserve">O projeto de Lei ora sob análise, de autoria da vereadora Helena Holanda, tem como cerne estabelecer </w:t>
      </w:r>
      <w:r w:rsidRPr="00CD7F0C">
        <w:rPr>
          <w:rFonts w:ascii="Calibri" w:eastAsia="NSimSun" w:hAnsi="Calibri" w:cs="Calibri"/>
          <w:color w:val="000000"/>
          <w:kern w:val="3"/>
          <w:sz w:val="24"/>
          <w:szCs w:val="24"/>
          <w:lang w:eastAsia="zh-CN" w:bidi="hi-IN"/>
        </w:rPr>
        <w:t>a disponibilização de lentes de aumento (lupas) nos supermercados e congêneres, para facilitar a visualização da composição, ingredientes e validade nos rótulos dos produtos comercializados, no município de João Pessoa.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 xml:space="preserve"> De modo que foi apresentado pela autora, acompanhado pela respectiva justificativa. Após tais feitos, foi encaminhado à Comissão de Constituição, Justiça, Redação e Legislação Participativa desta Casa, onde foi proferido parecer favorável, pugnando pela constitucionalidade do projeto legislativo em apreço. Estando, no presente momento, sob análise desta Comissão de Políticas Públicas.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>É o relatório.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Times New Roman" w:hAnsi="Calibri" w:cs="Times New Roman"/>
          <w:b/>
          <w:kern w:val="3"/>
          <w:sz w:val="24"/>
          <w:szCs w:val="21"/>
          <w:lang w:eastAsia="pt-BR" w:bidi="hi-IN"/>
        </w:rPr>
        <w:t xml:space="preserve">FUNDAMENTAÇÃO.  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 xml:space="preserve">   Ao se compulsar os termos do projeto de lei ora em apreço, verifica-se a sua função pública, uma vez que </w:t>
      </w:r>
      <w:r w:rsidRPr="00CD7F0C">
        <w:rPr>
          <w:rFonts w:ascii="Calibri" w:eastAsia="NSimSun" w:hAnsi="Calibri" w:cs="Calibri"/>
          <w:color w:val="000000"/>
          <w:kern w:val="3"/>
          <w:sz w:val="24"/>
          <w:szCs w:val="24"/>
          <w:lang w:eastAsia="zh-CN" w:bidi="hi-IN"/>
        </w:rPr>
        <w:t>a disponibilização de lentes de aumento (lupas) nos supermercados e congêneres, para facilitar a visualização da composição, ingredientes e validade nos rótulos dos produtos comercializados, é medida de significativa importância para promover a inclusão social, notadamente das pessoas com qualquer espécie de deficiência visual.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lastRenderedPageBreak/>
        <w:t>Outrossim, é bastante comum que os rótulos dos produtos comercializados em supermercados e congêneres possuam informações em letras bastante pequenas, só sendo visível, na maioria dos casos, através de lentes de aumento, sendo a medida que se pretende implementar através do PLO sob análise, bastante pertinente e oportuna para sanar tal problemática e, desse forma, promover o melhor acesso prático a informações de significativa importância.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 xml:space="preserve"> </w:t>
      </w:r>
    </w:p>
    <w:p w:rsidR="00CD7F0C" w:rsidRPr="00CD7F0C" w:rsidRDefault="00CD7F0C" w:rsidP="00CD7F0C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Times New Roman" w:hAnsi="Calibri" w:cs="Times New Roman"/>
          <w:b/>
          <w:kern w:val="3"/>
          <w:sz w:val="24"/>
          <w:szCs w:val="21"/>
          <w:lang w:eastAsia="pt-BR" w:bidi="hi-IN"/>
        </w:rPr>
        <w:t xml:space="preserve">CONCLUSÃO.      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b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>Com efeito, ante o discorrido e analisado, em atendimento ao artigo 45, do Regimento Interno desta Casa Legislativa, opina-se FAVORAVELMENTE à aprovação do Projeto de Lei em apreço – de n.° 1487/2019.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>É o parecer, salvo melhor juízo.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jc w:val="right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 xml:space="preserve">                          </w:t>
      </w:r>
      <w:r w:rsidRPr="00CD7F0C">
        <w:rPr>
          <w:rFonts w:ascii="Calibri" w:eastAsia="NSimSun" w:hAnsi="Calibri" w:cs="Calibri"/>
          <w:color w:val="000000"/>
          <w:kern w:val="3"/>
          <w:sz w:val="24"/>
          <w:szCs w:val="24"/>
          <w:lang w:eastAsia="zh-CN" w:bidi="hi-IN"/>
        </w:rPr>
        <w:t>João</w:t>
      </w:r>
      <w:r w:rsidRPr="00CD7F0C">
        <w:rPr>
          <w:rFonts w:ascii="Calibri" w:eastAsia="Arial" w:hAnsi="Calibri" w:cs="Calibri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CD7F0C">
        <w:rPr>
          <w:rFonts w:ascii="Calibri" w:eastAsia="NSimSun" w:hAnsi="Calibri" w:cs="Calibri"/>
          <w:color w:val="000000"/>
          <w:kern w:val="3"/>
          <w:sz w:val="24"/>
          <w:szCs w:val="24"/>
          <w:lang w:eastAsia="zh-CN" w:bidi="hi-IN"/>
        </w:rPr>
        <w:t>Pessoa-PB,</w:t>
      </w:r>
      <w:r w:rsidRPr="00CD7F0C">
        <w:rPr>
          <w:rFonts w:ascii="Calibri" w:eastAsia="Arial" w:hAnsi="Calibri" w:cs="Calibri"/>
          <w:color w:val="000000"/>
          <w:kern w:val="3"/>
          <w:sz w:val="24"/>
          <w:szCs w:val="24"/>
          <w:lang w:eastAsia="zh-CN" w:bidi="hi-IN"/>
        </w:rPr>
        <w:t xml:space="preserve"> _____ junho de 2020.</w:t>
      </w:r>
    </w:p>
    <w:p w:rsidR="00CD7F0C" w:rsidRPr="00CD7F0C" w:rsidRDefault="00CD7F0C" w:rsidP="00CD7F0C">
      <w:pPr>
        <w:suppressAutoHyphens/>
        <w:autoSpaceDN w:val="0"/>
        <w:spacing w:after="0" w:line="360" w:lineRule="auto"/>
        <w:jc w:val="right"/>
        <w:textAlignment w:val="baseline"/>
        <w:rPr>
          <w:rFonts w:ascii="Calibri" w:eastAsia="NSimSun" w:hAnsi="Calibri" w:cs="Calibri"/>
          <w:b/>
          <w:bCs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Calibri"/>
          <w:b/>
          <w:bCs/>
          <w:color w:val="000000"/>
          <w:kern w:val="3"/>
          <w:sz w:val="24"/>
          <w:szCs w:val="24"/>
          <w:lang w:eastAsia="zh-CN" w:bidi="hi-IN"/>
        </w:rPr>
        <w:t>__________________</w:t>
      </w:r>
      <w:r w:rsidRPr="00CD7F0C">
        <w:rPr>
          <w:rFonts w:ascii="Calibri" w:eastAsia="NSimSun" w:hAnsi="Calibri" w:cs="Calibri"/>
          <w:b/>
          <w:bCs/>
          <w:kern w:val="3"/>
          <w:sz w:val="24"/>
          <w:szCs w:val="24"/>
          <w:lang w:eastAsia="zh-CN" w:bidi="hi-IN"/>
        </w:rPr>
        <w:t>_____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Calibri"/>
          <w:b/>
          <w:bCs/>
          <w:kern w:val="3"/>
          <w:sz w:val="24"/>
          <w:szCs w:val="24"/>
          <w:lang w:eastAsia="zh-CN" w:bidi="hi-IN"/>
        </w:rPr>
        <w:t>Humberto Pontes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Arial" w:hAnsi="Calibri" w:cs="Calibri"/>
          <w:b/>
          <w:kern w:val="3"/>
          <w:sz w:val="24"/>
          <w:szCs w:val="24"/>
          <w:lang w:eastAsia="zh-CN" w:bidi="hi-IN"/>
        </w:rPr>
        <w:t>Vereador – PV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  <w:t>Parecer da Comissão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lastRenderedPageBreak/>
        <w:t>Com efeito, ante o discorrido e analisado, em atendimento ao artigo 45, do Regimento Interno desta Casa Legislativa opina-se FAVORAVELMENTE à aprovação do Projeto de Lei em apreço – de n.° 1487/2019.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ind w:firstLine="1418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Sala das Comissões, ____junho de 2020.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Marcos Henriques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 xml:space="preserve">Presidente  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Humberto Pontes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Vice – Presidente/Relator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João Almeida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João dos Santos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João Bosco dos Santos Filho (Bosquinho)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Lucas de Brito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  <w:t>Parecer da Comissão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</w:pPr>
    </w:p>
    <w:p w:rsidR="00CD7F0C" w:rsidRPr="00CD7F0C" w:rsidRDefault="00CD7F0C" w:rsidP="00CD7F0C">
      <w:pPr>
        <w:suppressAutoHyphens/>
        <w:autoSpaceDN w:val="0"/>
        <w:spacing w:after="0" w:line="360" w:lineRule="auto"/>
        <w:ind w:firstLine="1418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lastRenderedPageBreak/>
        <w:t xml:space="preserve">Com efeito, ante o discorrido e analisado, em atendimento ao artigo 45, do Regimento Interno desta Casa Legislativa somos de </w:t>
      </w:r>
      <w:r w:rsidRPr="00CD7F0C">
        <w:rPr>
          <w:rFonts w:ascii="Liberation Serif" w:eastAsia="Times New Roman" w:hAnsi="Liberation Serif" w:cs="Times New Roman"/>
          <w:b/>
          <w:bCs/>
          <w:kern w:val="3"/>
          <w:sz w:val="24"/>
          <w:szCs w:val="24"/>
          <w:lang w:eastAsia="pt-BR" w:bidi="hi-IN"/>
        </w:rPr>
        <w:t>PARECER FAVORÁVEL</w:t>
      </w:r>
      <w:r w:rsidRPr="00CD7F0C">
        <w:rPr>
          <w:rFonts w:ascii="Calibri" w:eastAsia="Times New Roman" w:hAnsi="Calibri" w:cs="Times New Roman"/>
          <w:kern w:val="3"/>
          <w:sz w:val="24"/>
          <w:szCs w:val="24"/>
          <w:lang w:eastAsia="pt-BR" w:bidi="hi-IN"/>
        </w:rPr>
        <w:t xml:space="preserve">  ao Projeto de Lei em apreço – de n.° 1487/2019.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Lucida Sans"/>
          <w:b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CD7F0C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Sala das Comissões, ____junho de 2020.</w:t>
      </w:r>
    </w:p>
    <w:p w:rsidR="00CD7F0C" w:rsidRPr="00CD7F0C" w:rsidRDefault="00CD7F0C" w:rsidP="00CD7F0C">
      <w:pPr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5"/>
        </w:numPr>
        <w:suppressAutoHyphens/>
        <w:autoSpaceDN w:val="0"/>
        <w:spacing w:after="0" w:line="24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Marcos Henriques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Presidente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ind w:left="720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120" w:line="360" w:lineRule="auto"/>
        <w:ind w:left="720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Humberto Pontes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ind w:left="720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Vice – Presidente/Relator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ind w:left="720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suppressAutoHyphens/>
        <w:autoSpaceDN w:val="0"/>
        <w:spacing w:after="120" w:line="360" w:lineRule="auto"/>
        <w:ind w:left="720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Mangueira</w:t>
      </w: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Lucas de Brito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João dos Santos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Raissa Lacerda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Membro</w:t>
      </w: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</w:p>
    <w:p w:rsidR="00CD7F0C" w:rsidRPr="00CD7F0C" w:rsidRDefault="00CD7F0C" w:rsidP="00CD7F0C">
      <w:pPr>
        <w:numPr>
          <w:ilvl w:val="0"/>
          <w:numId w:val="2"/>
        </w:num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Zezinho Botafogo</w:t>
      </w:r>
    </w:p>
    <w:p w:rsidR="00CD7F0C" w:rsidRPr="00CD7F0C" w:rsidRDefault="00CD7F0C" w:rsidP="00CD7F0C">
      <w:pPr>
        <w:suppressAutoHyphens/>
        <w:autoSpaceDN w:val="0"/>
        <w:spacing w:after="120" w:line="360" w:lineRule="auto"/>
        <w:jc w:val="center"/>
        <w:textAlignment w:val="baseline"/>
        <w:rPr>
          <w:rFonts w:ascii="Calibri" w:eastAsia="NSimSun" w:hAnsi="Calibri" w:cs="Mangal"/>
          <w:kern w:val="3"/>
          <w:sz w:val="24"/>
          <w:szCs w:val="21"/>
          <w:lang w:eastAsia="zh-CN" w:bidi="hi-IN"/>
        </w:rPr>
      </w:pPr>
      <w:r w:rsidRPr="00CD7F0C">
        <w:rPr>
          <w:rFonts w:ascii="Calibri" w:eastAsia="NSimSun" w:hAnsi="Calibri" w:cs="Mangal"/>
          <w:kern w:val="3"/>
          <w:sz w:val="24"/>
          <w:szCs w:val="24"/>
          <w:lang w:eastAsia="zh-CN" w:bidi="hi-IN"/>
        </w:rPr>
        <w:t>Membro</w:t>
      </w:r>
    </w:p>
    <w:p w:rsidR="00091644" w:rsidRDefault="00091644"/>
    <w:sectPr w:rsidR="00091644">
      <w:headerReference w:type="default" r:id="rId5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9B1" w:rsidRDefault="00CD7F0C">
    <w:pPr>
      <w:pStyle w:val="Standard"/>
      <w:tabs>
        <w:tab w:val="left" w:pos="3119"/>
      </w:tabs>
      <w:jc w:val="center"/>
      <w:rPr>
        <w:rFonts w:hint="eastAsia"/>
      </w:rPr>
    </w:pPr>
    <w:r>
      <w:rPr>
        <w:noProof/>
        <w:lang w:eastAsia="pt-BR" w:bidi="ar-SA"/>
      </w:rPr>
      <w:drawing>
        <wp:inline distT="0" distB="0" distL="0" distR="0" wp14:anchorId="1D19FDB0" wp14:editId="0925FC58">
          <wp:extent cx="647640" cy="590400"/>
          <wp:effectExtent l="0" t="0" r="60" b="15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40" cy="59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19B1" w:rsidRDefault="00CD7F0C">
    <w:pPr>
      <w:pStyle w:val="Standard"/>
      <w:tabs>
        <w:tab w:val="left" w:pos="3119"/>
      </w:tabs>
      <w:jc w:val="center"/>
      <w:rPr>
        <w:rFonts w:hint="eastAsia"/>
      </w:rPr>
    </w:pPr>
    <w:r>
      <w:rPr>
        <w:rFonts w:ascii="Calibri" w:hAnsi="Calibri" w:cs="Calibri"/>
        <w:b/>
        <w:color w:val="000000"/>
        <w:sz w:val="22"/>
      </w:rPr>
      <w:t>CÂMARA</w:t>
    </w:r>
    <w:r>
      <w:rPr>
        <w:rFonts w:ascii="Calibri" w:eastAsia="Times New Roman" w:hAnsi="Calibri" w:cs="Calibri"/>
        <w:b/>
        <w:color w:val="000000"/>
        <w:sz w:val="22"/>
      </w:rPr>
      <w:t xml:space="preserve"> </w:t>
    </w:r>
    <w:r>
      <w:rPr>
        <w:rFonts w:ascii="Calibri" w:hAnsi="Calibri" w:cs="Calibri"/>
        <w:b/>
        <w:color w:val="000000"/>
        <w:sz w:val="22"/>
      </w:rPr>
      <w:t>MUNICIPAL</w:t>
    </w:r>
    <w:r>
      <w:rPr>
        <w:rFonts w:ascii="Calibri" w:eastAsia="Times New Roman" w:hAnsi="Calibri" w:cs="Calibri"/>
        <w:b/>
        <w:color w:val="000000"/>
        <w:sz w:val="22"/>
      </w:rPr>
      <w:t xml:space="preserve"> </w:t>
    </w:r>
    <w:r>
      <w:rPr>
        <w:rFonts w:ascii="Calibri" w:hAnsi="Calibri" w:cs="Calibri"/>
        <w:b/>
        <w:color w:val="000000"/>
        <w:sz w:val="22"/>
      </w:rPr>
      <w:t>DE</w:t>
    </w:r>
    <w:r>
      <w:rPr>
        <w:rFonts w:ascii="Calibri" w:eastAsia="Times New Roman" w:hAnsi="Calibri" w:cs="Calibri"/>
        <w:b/>
        <w:color w:val="000000"/>
        <w:sz w:val="22"/>
      </w:rPr>
      <w:t xml:space="preserve"> </w:t>
    </w:r>
    <w:r>
      <w:rPr>
        <w:rFonts w:ascii="Calibri" w:hAnsi="Calibri" w:cs="Calibri"/>
        <w:b/>
        <w:color w:val="000000"/>
        <w:sz w:val="22"/>
      </w:rPr>
      <w:t>JOÃO</w:t>
    </w:r>
    <w:r>
      <w:rPr>
        <w:rFonts w:ascii="Calibri" w:eastAsia="Times New Roman" w:hAnsi="Calibri" w:cs="Calibri"/>
        <w:b/>
        <w:color w:val="000000"/>
        <w:sz w:val="22"/>
      </w:rPr>
      <w:t xml:space="preserve"> </w:t>
    </w:r>
    <w:r>
      <w:rPr>
        <w:rFonts w:ascii="Calibri" w:hAnsi="Calibri" w:cs="Calibri"/>
        <w:b/>
        <w:color w:val="000000"/>
        <w:sz w:val="22"/>
      </w:rPr>
      <w:t>PESSOA</w:t>
    </w:r>
  </w:p>
  <w:p w:rsidR="009119B1" w:rsidRDefault="00CD7F0C" w:rsidP="00CD7F0C">
    <w:pPr>
      <w:pStyle w:val="Cabealho1"/>
      <w:keepLines w:val="0"/>
      <w:numPr>
        <w:ilvl w:val="0"/>
        <w:numId w:val="3"/>
      </w:numPr>
      <w:suppressAutoHyphens/>
      <w:autoSpaceDN w:val="0"/>
      <w:spacing w:before="0" w:line="240" w:lineRule="auto"/>
      <w:jc w:val="center"/>
      <w:textAlignment w:val="baseline"/>
    </w:pPr>
    <w:r>
      <w:rPr>
        <w:rFonts w:ascii="Calibri" w:hAnsi="Calibri" w:cs="Calibri"/>
        <w:color w:val="000000"/>
      </w:rPr>
      <w:t>Casa</w:t>
    </w:r>
    <w:r>
      <w:rPr>
        <w:rFonts w:ascii="Calibri" w:eastAsia="Arial" w:hAnsi="Calibri" w:cs="Calibri"/>
        <w:color w:val="000000"/>
      </w:rPr>
      <w:t xml:space="preserve"> </w:t>
    </w:r>
    <w:r>
      <w:rPr>
        <w:rFonts w:ascii="Calibri" w:hAnsi="Calibri" w:cs="Calibri"/>
        <w:color w:val="000000"/>
      </w:rPr>
      <w:t>Napoleão</w:t>
    </w:r>
    <w:r>
      <w:rPr>
        <w:rFonts w:ascii="Calibri" w:eastAsia="Arial" w:hAnsi="Calibri" w:cs="Calibri"/>
        <w:color w:val="000000"/>
      </w:rPr>
      <w:t xml:space="preserve"> </w:t>
    </w:r>
    <w:r>
      <w:rPr>
        <w:rFonts w:ascii="Calibri" w:hAnsi="Calibri" w:cs="Calibri"/>
        <w:color w:val="000000"/>
      </w:rPr>
      <w:t>Laureano</w:t>
    </w:r>
  </w:p>
  <w:p w:rsidR="009119B1" w:rsidRDefault="00CD7F0C">
    <w:pPr>
      <w:pStyle w:val="Standard"/>
      <w:jc w:val="center"/>
      <w:rPr>
        <w:rFonts w:hint="eastAsia"/>
      </w:rPr>
    </w:pPr>
    <w:r>
      <w:rPr>
        <w:rFonts w:ascii="Calibri" w:hAnsi="Calibri"/>
        <w:b/>
        <w:sz w:val="22"/>
        <w:szCs w:val="22"/>
        <w:lang w:val="pt-PT"/>
      </w:rPr>
      <w:t>Comissão de Políticas Públicas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FD5"/>
    <w:multiLevelType w:val="multilevel"/>
    <w:tmpl w:val="41ACD8BC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5313"/>
    <w:multiLevelType w:val="multilevel"/>
    <w:tmpl w:val="95F20E9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0C"/>
    <w:rsid w:val="00091644"/>
    <w:rsid w:val="00C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7158D-C1D9-4119-B08B-373F0C1C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CD7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CD7F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CD7F0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">
    <w:name w:val="WWNum3"/>
    <w:basedOn w:val="Semlista"/>
    <w:rsid w:val="00CD7F0C"/>
    <w:pPr>
      <w:numPr>
        <w:numId w:val="1"/>
      </w:numPr>
    </w:pPr>
  </w:style>
  <w:style w:type="numbering" w:customStyle="1" w:styleId="WWNum1">
    <w:name w:val="WWNum1"/>
    <w:basedOn w:val="Semlista"/>
    <w:rsid w:val="00CD7F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</dc:creator>
  <cp:keywords/>
  <dc:description/>
  <cp:lastModifiedBy>Janaina</cp:lastModifiedBy>
  <cp:revision>1</cp:revision>
  <dcterms:created xsi:type="dcterms:W3CDTF">2020-07-02T00:01:00Z</dcterms:created>
  <dcterms:modified xsi:type="dcterms:W3CDTF">2020-07-02T00:02:00Z</dcterms:modified>
</cp:coreProperties>
</file>